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AFB5" w14:textId="77777777" w:rsidR="003D45B1" w:rsidRPr="00456A01" w:rsidRDefault="003D45B1" w:rsidP="00FA6865">
      <w:pPr>
        <w:pStyle w:val="Heading5"/>
        <w:ind w:firstLine="360"/>
        <w:jc w:val="center"/>
        <w:rPr>
          <w:rFonts w:ascii="Calibri" w:hAnsi="Calibri"/>
          <w:i w:val="0"/>
          <w:sz w:val="28"/>
          <w:szCs w:val="28"/>
        </w:rPr>
      </w:pPr>
      <w:r w:rsidRPr="00456A01">
        <w:rPr>
          <w:rFonts w:ascii="Calibri" w:hAnsi="Calibri"/>
          <w:i w:val="0"/>
          <w:sz w:val="28"/>
          <w:szCs w:val="28"/>
        </w:rPr>
        <w:t>General Services Administration</w:t>
      </w:r>
    </w:p>
    <w:p w14:paraId="27FC0059" w14:textId="4852624D" w:rsidR="00351738" w:rsidRDefault="009A420B" w:rsidP="00D53AAA">
      <w:pPr>
        <w:pStyle w:val="Heading5"/>
        <w:ind w:firstLine="360"/>
        <w:jc w:val="center"/>
      </w:pPr>
      <w:r>
        <w:t xml:space="preserve">Contract Number: </w:t>
      </w:r>
      <w:r w:rsidR="00D53AAA" w:rsidRPr="00D53AAA">
        <w:t>47QSMS24D0039</w:t>
      </w:r>
    </w:p>
    <w:p w14:paraId="4886DFF8" w14:textId="77777777" w:rsidR="00D53AAA" w:rsidRPr="00D53AAA" w:rsidRDefault="00D53AAA" w:rsidP="00D53AAA"/>
    <w:p w14:paraId="1D9C4C64" w14:textId="3D9C5D7A" w:rsidR="00351738" w:rsidRPr="005133D1" w:rsidRDefault="00EA6F6F" w:rsidP="00C323A3">
      <w:pPr>
        <w:rPr>
          <w:rFonts w:ascii="Arial" w:eastAsia="Times New Roman" w:hAnsi="Arial" w:cs="Times New Roman"/>
          <w:sz w:val="18"/>
          <w:szCs w:val="18"/>
        </w:rPr>
      </w:pP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GSA 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Contract:</w:t>
      </w:r>
      <w:r w:rsidR="00351738" w:rsidRPr="005133D1">
        <w:rPr>
          <w:rFonts w:ascii="Arial" w:eastAsia="Times New Roman" w:hAnsi="Arial" w:cs="Times New Roman"/>
          <w:sz w:val="18"/>
          <w:szCs w:val="18"/>
        </w:rPr>
        <w:t xml:space="preserve"> </w:t>
      </w:r>
      <w:r w:rsidR="00C323A3" w:rsidRPr="005133D1">
        <w:rPr>
          <w:rFonts w:ascii="Arial" w:eastAsia="Times New Roman" w:hAnsi="Arial" w:cs="Times New Roman"/>
          <w:sz w:val="18"/>
          <w:szCs w:val="18"/>
        </w:rPr>
        <w:t>GSA approved product sold to an eligible federal agency</w:t>
      </w:r>
      <w:r w:rsidR="00351738" w:rsidRPr="005133D1">
        <w:rPr>
          <w:rFonts w:ascii="Arial" w:eastAsia="Times New Roman" w:hAnsi="Arial" w:cs="Times New Roman"/>
          <w:sz w:val="18"/>
          <w:szCs w:val="18"/>
        </w:rPr>
        <w:t>.</w:t>
      </w:r>
    </w:p>
    <w:p w14:paraId="32BAD5A8" w14:textId="44A35AAF" w:rsidR="00FA6865" w:rsidRPr="005133D1" w:rsidRDefault="00FA6865" w:rsidP="00C323A3">
      <w:pPr>
        <w:rPr>
          <w:rFonts w:ascii="Arial" w:eastAsia="Times New Roman" w:hAnsi="Arial" w:cs="Times New Roman"/>
          <w:sz w:val="18"/>
          <w:szCs w:val="18"/>
        </w:rPr>
      </w:pPr>
    </w:p>
    <w:p w14:paraId="49DABE72" w14:textId="1BF0C2AE" w:rsidR="00FA6865" w:rsidRPr="005133D1" w:rsidRDefault="00FA6865" w:rsidP="00FA6865">
      <w:pPr>
        <w:pStyle w:val="ListParagraph"/>
        <w:numPr>
          <w:ilvl w:val="0"/>
          <w:numId w:val="8"/>
        </w:numPr>
        <w:rPr>
          <w:rFonts w:eastAsia="Times New Roman" w:cstheme="minorHAnsi"/>
          <w:sz w:val="18"/>
          <w:szCs w:val="18"/>
        </w:rPr>
      </w:pPr>
      <w:r w:rsidRPr="005133D1">
        <w:rPr>
          <w:rFonts w:eastAsia="Times New Roman" w:cstheme="minorHAnsi"/>
          <w:b/>
          <w:bCs/>
          <w:sz w:val="18"/>
          <w:szCs w:val="18"/>
        </w:rPr>
        <w:t>Contract Period:</w:t>
      </w:r>
      <w:r w:rsidRPr="005133D1">
        <w:rPr>
          <w:rFonts w:eastAsia="Times New Roman" w:cstheme="minorHAnsi"/>
          <w:sz w:val="18"/>
          <w:szCs w:val="18"/>
        </w:rPr>
        <w:t xml:space="preserve"> March </w:t>
      </w:r>
      <w:r w:rsidR="00D53AAA" w:rsidRPr="005133D1">
        <w:rPr>
          <w:rFonts w:eastAsia="Times New Roman" w:cstheme="minorHAnsi"/>
          <w:sz w:val="18"/>
          <w:szCs w:val="18"/>
        </w:rPr>
        <w:t>9</w:t>
      </w:r>
      <w:r w:rsidRPr="005133D1">
        <w:rPr>
          <w:rFonts w:eastAsia="Times New Roman" w:cstheme="minorHAnsi"/>
          <w:sz w:val="18"/>
          <w:szCs w:val="18"/>
        </w:rPr>
        <w:t>,20</w:t>
      </w:r>
      <w:r w:rsidR="00D53AAA" w:rsidRPr="005133D1">
        <w:rPr>
          <w:rFonts w:eastAsia="Times New Roman" w:cstheme="minorHAnsi"/>
          <w:sz w:val="18"/>
          <w:szCs w:val="18"/>
        </w:rPr>
        <w:t>24</w:t>
      </w:r>
      <w:r w:rsidRPr="005133D1">
        <w:rPr>
          <w:rFonts w:eastAsia="Times New Roman" w:cstheme="minorHAnsi"/>
          <w:sz w:val="18"/>
          <w:szCs w:val="18"/>
        </w:rPr>
        <w:t xml:space="preserve"> – March </w:t>
      </w:r>
      <w:r w:rsidR="00D53AAA" w:rsidRPr="005133D1">
        <w:rPr>
          <w:rFonts w:eastAsia="Times New Roman" w:cstheme="minorHAnsi"/>
          <w:sz w:val="18"/>
          <w:szCs w:val="18"/>
        </w:rPr>
        <w:t>8</w:t>
      </w:r>
      <w:r w:rsidRPr="005133D1">
        <w:rPr>
          <w:rFonts w:eastAsia="Times New Roman" w:cstheme="minorHAnsi"/>
          <w:sz w:val="18"/>
          <w:szCs w:val="18"/>
        </w:rPr>
        <w:t>, 202</w:t>
      </w:r>
      <w:r w:rsidR="00D53AAA" w:rsidRPr="005133D1">
        <w:rPr>
          <w:rFonts w:eastAsia="Times New Roman" w:cstheme="minorHAnsi"/>
          <w:sz w:val="18"/>
          <w:szCs w:val="18"/>
        </w:rPr>
        <w:t>9</w:t>
      </w:r>
    </w:p>
    <w:p w14:paraId="1C822783" w14:textId="77777777" w:rsidR="00351738" w:rsidRPr="005133D1" w:rsidRDefault="00351738" w:rsidP="00351738">
      <w:pPr>
        <w:rPr>
          <w:rFonts w:eastAsia="Times New Roman" w:cstheme="minorHAnsi"/>
          <w:sz w:val="18"/>
          <w:szCs w:val="18"/>
        </w:rPr>
      </w:pPr>
    </w:p>
    <w:p w14:paraId="0E6840E4" w14:textId="45FAC390" w:rsidR="0032526C" w:rsidRPr="005133D1" w:rsidRDefault="00351738" w:rsidP="0032526C">
      <w:pPr>
        <w:rPr>
          <w:rFonts w:eastAsia="Times New Roman" w:cstheme="minorHAnsi"/>
          <w:b/>
          <w:sz w:val="18"/>
          <w:szCs w:val="18"/>
        </w:rPr>
      </w:pPr>
      <w:r w:rsidRPr="005133D1">
        <w:rPr>
          <w:rFonts w:cstheme="minorHAnsi"/>
          <w:sz w:val="18"/>
          <w:szCs w:val="18"/>
        </w:rPr>
        <w:sym w:font="Symbol" w:char="F0B7"/>
      </w:r>
      <w:r w:rsidRPr="005133D1">
        <w:rPr>
          <w:rFonts w:eastAsia="Times New Roman" w:cstheme="minorHAnsi"/>
          <w:sz w:val="18"/>
          <w:szCs w:val="18"/>
        </w:rPr>
        <w:t xml:space="preserve">    </w:t>
      </w:r>
      <w:r w:rsidR="0032526C" w:rsidRPr="005133D1">
        <w:rPr>
          <w:rFonts w:eastAsia="Times New Roman" w:cstheme="minorHAnsi"/>
          <w:sz w:val="18"/>
          <w:szCs w:val="18"/>
        </w:rPr>
        <w:t xml:space="preserve"> </w:t>
      </w:r>
      <w:r w:rsidR="00FA6865" w:rsidRPr="005133D1">
        <w:rPr>
          <w:rFonts w:eastAsia="Times New Roman" w:cstheme="minorHAnsi"/>
          <w:sz w:val="18"/>
          <w:szCs w:val="18"/>
        </w:rPr>
        <w:t xml:space="preserve">  </w:t>
      </w:r>
      <w:r w:rsidR="0032526C" w:rsidRPr="005133D1">
        <w:rPr>
          <w:rFonts w:eastAsia="Times New Roman" w:cstheme="minorHAnsi"/>
          <w:b/>
          <w:sz w:val="18"/>
          <w:szCs w:val="18"/>
          <w:highlight w:val="yellow"/>
        </w:rPr>
        <w:t xml:space="preserve">Discount to GSA is 62.1% </w:t>
      </w:r>
      <w:proofErr w:type="gramStart"/>
      <w:r w:rsidR="0032526C" w:rsidRPr="005133D1">
        <w:rPr>
          <w:rFonts w:eastAsia="Times New Roman" w:cstheme="minorHAnsi"/>
          <w:b/>
          <w:sz w:val="18"/>
          <w:szCs w:val="18"/>
          <w:highlight w:val="yellow"/>
        </w:rPr>
        <w:t>off</w:t>
      </w:r>
      <w:proofErr w:type="gramEnd"/>
      <w:r w:rsidR="0032526C" w:rsidRPr="005133D1">
        <w:rPr>
          <w:rFonts w:eastAsia="Times New Roman" w:cstheme="minorHAnsi"/>
          <w:b/>
          <w:sz w:val="18"/>
          <w:szCs w:val="18"/>
          <w:highlight w:val="yellow"/>
        </w:rPr>
        <w:t xml:space="preserve"> </w:t>
      </w:r>
      <w:r w:rsidR="00A22EE2" w:rsidRPr="005133D1">
        <w:rPr>
          <w:rFonts w:eastAsia="Times New Roman" w:cstheme="minorHAnsi"/>
          <w:b/>
          <w:sz w:val="18"/>
          <w:szCs w:val="18"/>
          <w:highlight w:val="yellow"/>
        </w:rPr>
        <w:t>Nov</w:t>
      </w:r>
      <w:r w:rsidR="00346A41" w:rsidRPr="005133D1">
        <w:rPr>
          <w:rFonts w:eastAsia="Times New Roman" w:cstheme="minorHAnsi"/>
          <w:b/>
          <w:sz w:val="18"/>
          <w:szCs w:val="18"/>
          <w:highlight w:val="yellow"/>
        </w:rPr>
        <w:t xml:space="preserve"> 2023</w:t>
      </w:r>
      <w:r w:rsidR="00F53491" w:rsidRPr="005133D1">
        <w:rPr>
          <w:rFonts w:eastAsia="Times New Roman" w:cstheme="minorHAnsi"/>
          <w:b/>
          <w:sz w:val="18"/>
          <w:szCs w:val="18"/>
          <w:highlight w:val="yellow"/>
        </w:rPr>
        <w:t>.</w:t>
      </w:r>
    </w:p>
    <w:p w14:paraId="54621E1B" w14:textId="2E8094ED" w:rsidR="00351738" w:rsidRPr="005133D1" w:rsidRDefault="0032526C" w:rsidP="00351738">
      <w:pPr>
        <w:rPr>
          <w:rFonts w:ascii="Helvetica" w:eastAsia="Times New Roman" w:hAnsi="Helvetica" w:cs="Times New Roman"/>
          <w:sz w:val="18"/>
          <w:szCs w:val="18"/>
        </w:rPr>
      </w:pPr>
      <w:r w:rsidRPr="005133D1">
        <w:rPr>
          <w:rFonts w:ascii="Helvetica" w:eastAsia="Times New Roman" w:hAnsi="Helvetica" w:cs="Times New Roman"/>
          <w:b/>
          <w:sz w:val="18"/>
          <w:szCs w:val="18"/>
        </w:rPr>
        <w:t xml:space="preserve">   </w:t>
      </w:r>
    </w:p>
    <w:p w14:paraId="2E92E938" w14:textId="0B6A7ADF" w:rsidR="00EE3401" w:rsidRPr="005133D1" w:rsidRDefault="00BD75CD" w:rsidP="00EE3401">
      <w:pPr>
        <w:rPr>
          <w:rFonts w:ascii="Arial" w:eastAsia="Times New Roman" w:hAnsi="Arial" w:cs="Times New Roman"/>
          <w:b/>
          <w:sz w:val="18"/>
          <w:szCs w:val="18"/>
        </w:rPr>
      </w:pPr>
      <w:r w:rsidRPr="005133D1">
        <w:rPr>
          <w:rFonts w:ascii="Arial" w:eastAsia="Times New Roman" w:hAnsi="Arial" w:cs="Times New Roman"/>
          <w:b/>
          <w:sz w:val="18"/>
          <w:szCs w:val="18"/>
        </w:rPr>
        <w:t xml:space="preserve">SIN 3721: </w:t>
      </w:r>
      <w:r w:rsidR="00EE3401" w:rsidRPr="005133D1">
        <w:rPr>
          <w:rFonts w:ascii="Arial" w:eastAsia="Times New Roman" w:hAnsi="Arial" w:cs="Times New Roman"/>
          <w:b/>
          <w:sz w:val="18"/>
          <w:szCs w:val="18"/>
        </w:rPr>
        <w:t>Office Furniture, Storage, Modular and Height Adjustable Workstations, Tables, and Multipurpose Seating</w:t>
      </w:r>
    </w:p>
    <w:p w14:paraId="35137876" w14:textId="77777777" w:rsidR="009A5B20" w:rsidRPr="005133D1" w:rsidRDefault="009A5B20" w:rsidP="0032526C">
      <w:pPr>
        <w:rPr>
          <w:rFonts w:ascii="Arial" w:eastAsia="Times New Roman" w:hAnsi="Arial" w:cs="Times New Roman"/>
          <w:sz w:val="18"/>
          <w:szCs w:val="18"/>
        </w:rPr>
      </w:pPr>
    </w:p>
    <w:p w14:paraId="439A913E" w14:textId="2886131B" w:rsidR="009A5B20" w:rsidRPr="005133D1" w:rsidRDefault="00A22EE2" w:rsidP="009A5B20">
      <w:pPr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  <w:sz w:val="18"/>
          <w:szCs w:val="18"/>
        </w:rPr>
      </w:pPr>
      <w:r w:rsidRPr="005133D1">
        <w:rPr>
          <w:rFonts w:ascii="Calibri" w:hAnsi="Calibri"/>
          <w:b/>
          <w:sz w:val="18"/>
          <w:szCs w:val="18"/>
        </w:rPr>
        <w:t xml:space="preserve">GSA </w:t>
      </w:r>
      <w:r w:rsidR="009A5B20" w:rsidRPr="005133D1">
        <w:rPr>
          <w:rFonts w:ascii="Calibri" w:hAnsi="Calibri"/>
          <w:b/>
          <w:sz w:val="18"/>
          <w:szCs w:val="18"/>
        </w:rPr>
        <w:t>Freight Terms:  FREE FREIGHT.</w:t>
      </w:r>
      <w:r w:rsidR="009A5B20" w:rsidRPr="005133D1">
        <w:rPr>
          <w:rFonts w:ascii="Calibri" w:hAnsi="Calibri"/>
          <w:sz w:val="18"/>
          <w:szCs w:val="18"/>
        </w:rPr>
        <w:t xml:space="preserve">  All </w:t>
      </w:r>
      <w:r w:rsidRPr="005133D1">
        <w:rPr>
          <w:rFonts w:ascii="Calibri" w:hAnsi="Calibri"/>
          <w:sz w:val="18"/>
          <w:szCs w:val="18"/>
        </w:rPr>
        <w:t>GSA approved products</w:t>
      </w:r>
      <w:r w:rsidR="009A5B20" w:rsidRPr="005133D1">
        <w:rPr>
          <w:rFonts w:ascii="Calibri" w:hAnsi="Calibri"/>
          <w:sz w:val="18"/>
          <w:szCs w:val="18"/>
        </w:rPr>
        <w:t xml:space="preserve"> ship via common carrier F.O.B. shipping point (origin), with freight charges prepaid by Safco.  This is for dock-to-dock delivery shipments within the 48 contiguous states.  Any accessorial charges (lift gate, inside delivery, call-in-advance, etc.), are the responsibility of the requesting party.</w:t>
      </w:r>
    </w:p>
    <w:p w14:paraId="2E72BAFF" w14:textId="77777777" w:rsidR="00657B01" w:rsidRPr="005133D1" w:rsidRDefault="00657B01" w:rsidP="00E6222B">
      <w:pPr>
        <w:rPr>
          <w:rFonts w:cstheme="minorHAnsi"/>
          <w:sz w:val="18"/>
          <w:szCs w:val="18"/>
        </w:rPr>
      </w:pPr>
    </w:p>
    <w:p w14:paraId="6BF14376" w14:textId="77777777" w:rsidR="005133D1" w:rsidRPr="005133D1" w:rsidRDefault="005133D1" w:rsidP="005133D1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GSA Order Submission Requirements:</w:t>
      </w:r>
    </w:p>
    <w:p w14:paraId="21B60672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b/>
          <w:bCs/>
          <w:color w:val="7030A0"/>
          <w:sz w:val="18"/>
          <w:szCs w:val="18"/>
        </w:rPr>
        <w:t> </w:t>
      </w:r>
    </w:p>
    <w:p w14:paraId="5F221190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b/>
          <w:bCs/>
          <w:color w:val="7030A0"/>
          <w:sz w:val="18"/>
          <w:szCs w:val="18"/>
        </w:rPr>
        <w:t xml:space="preserve">Dealer Direct </w:t>
      </w:r>
      <w:r w:rsidRPr="005133D1">
        <w:rPr>
          <w:rFonts w:cstheme="minorHAnsi"/>
          <w:color w:val="7030A0"/>
          <w:sz w:val="18"/>
          <w:szCs w:val="18"/>
        </w:rPr>
        <w:t>(dealer submits the po to SAFCO® on behalf of the federal agency)</w:t>
      </w:r>
    </w:p>
    <w:p w14:paraId="3908AC76" w14:textId="06A8200E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color w:val="7030A0"/>
          <w:sz w:val="18"/>
          <w:szCs w:val="18"/>
        </w:rPr>
        <w:t xml:space="preserve">Dealer PO must be accompanied by a Teaming Agreement referencing the dealer’s package office contract number and Safco’s GSA contract numbers. Safco signed teaming approved agreements include project teaming agreements, BPA, and Schedule CTA. </w:t>
      </w:r>
      <w:r w:rsidR="004D2E13" w:rsidRPr="004D2E13">
        <w:rPr>
          <w:rFonts w:cstheme="minorHAnsi"/>
          <w:color w:val="7030A0"/>
          <w:sz w:val="18"/>
          <w:szCs w:val="18"/>
        </w:rPr>
        <w:t xml:space="preserve">Eligible dealer service payment of 10% </w:t>
      </w:r>
      <w:r w:rsidR="004D2E13">
        <w:rPr>
          <w:rFonts w:cstheme="minorHAnsi"/>
          <w:color w:val="7030A0"/>
          <w:sz w:val="18"/>
          <w:szCs w:val="18"/>
        </w:rPr>
        <w:t>will be deducted from purchase order as a single line item.</w:t>
      </w:r>
    </w:p>
    <w:p w14:paraId="1CCCFAF8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color w:val="7030A0"/>
          <w:sz w:val="18"/>
          <w:szCs w:val="18"/>
        </w:rPr>
        <w:t> </w:t>
      </w:r>
    </w:p>
    <w:p w14:paraId="7EC4B63C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b/>
          <w:bCs/>
          <w:color w:val="7030A0"/>
          <w:sz w:val="18"/>
          <w:szCs w:val="18"/>
        </w:rPr>
        <w:t xml:space="preserve">End User Direct </w:t>
      </w:r>
      <w:r w:rsidRPr="005133D1">
        <w:rPr>
          <w:rFonts w:cstheme="minorHAnsi"/>
          <w:color w:val="7030A0"/>
          <w:sz w:val="18"/>
          <w:szCs w:val="18"/>
        </w:rPr>
        <w:t>(federal agency submits the po to SAFCO® directly)</w:t>
      </w:r>
    </w:p>
    <w:p w14:paraId="1BC74822" w14:textId="77777777" w:rsidR="004D2E13" w:rsidRPr="005133D1" w:rsidRDefault="005133D1" w:rsidP="004D2E13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color w:val="7030A0"/>
          <w:sz w:val="18"/>
          <w:szCs w:val="18"/>
        </w:rPr>
        <w:t>End User PO must state Safco as the “vendor”, and reference SAFCO® GSA Contract# GS-29F-0010P and discount. GSA orders from the end User should include a copy of the Dealer quote and a ship to address with a dock.</w:t>
      </w:r>
      <w:r w:rsidR="004D2E13">
        <w:rPr>
          <w:rFonts w:cstheme="minorHAnsi"/>
          <w:color w:val="7030A0"/>
          <w:sz w:val="18"/>
          <w:szCs w:val="18"/>
        </w:rPr>
        <w:t xml:space="preserve"> </w:t>
      </w:r>
      <w:r w:rsidR="004D2E13" w:rsidRPr="005133D1">
        <w:rPr>
          <w:rFonts w:cstheme="minorHAnsi"/>
          <w:color w:val="7030A0"/>
          <w:sz w:val="18"/>
          <w:szCs w:val="18"/>
        </w:rPr>
        <w:t xml:space="preserve">Eligible dealer service payment </w:t>
      </w:r>
      <w:r w:rsidR="004D2E13">
        <w:rPr>
          <w:rFonts w:cstheme="minorHAnsi"/>
          <w:color w:val="7030A0"/>
          <w:sz w:val="18"/>
          <w:szCs w:val="18"/>
        </w:rPr>
        <w:t xml:space="preserve">of 10% </w:t>
      </w:r>
      <w:r w:rsidR="004D2E13" w:rsidRPr="005133D1">
        <w:rPr>
          <w:rFonts w:cstheme="minorHAnsi"/>
          <w:color w:val="7030A0"/>
          <w:sz w:val="18"/>
          <w:szCs w:val="18"/>
        </w:rPr>
        <w:t xml:space="preserve">and installation will be paid 15-30 days from receipt of agency payment. </w:t>
      </w:r>
    </w:p>
    <w:p w14:paraId="0C357B2C" w14:textId="77777777" w:rsidR="005133D1" w:rsidRPr="005133D1" w:rsidRDefault="005133D1" w:rsidP="00C323A3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14:paraId="25F26853" w14:textId="77777777" w:rsidR="005133D1" w:rsidRPr="005133D1" w:rsidRDefault="005133D1" w:rsidP="00C323A3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14:paraId="4EE25173" w14:textId="7AC30060" w:rsidR="00657B01" w:rsidRPr="005133D1" w:rsidRDefault="00657B01" w:rsidP="00C323A3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Open 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M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arket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: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 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Product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 sold to a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n eligible federal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 agency, but not GSA approved product. </w:t>
      </w:r>
    </w:p>
    <w:p w14:paraId="051E4F91" w14:textId="77777777" w:rsidR="00EC15DD" w:rsidRPr="005133D1" w:rsidRDefault="00EC15DD" w:rsidP="00EC15DD">
      <w:pPr>
        <w:pStyle w:val="ListParagraph"/>
        <w:ind w:left="1080"/>
        <w:rPr>
          <w:rFonts w:cstheme="minorHAnsi"/>
          <w:color w:val="00B050"/>
          <w:sz w:val="18"/>
          <w:szCs w:val="18"/>
        </w:rPr>
      </w:pPr>
    </w:p>
    <w:p w14:paraId="009FD11D" w14:textId="42DF21BE" w:rsidR="00EC15DD" w:rsidRPr="005133D1" w:rsidRDefault="00EC15DD" w:rsidP="00EC15DD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Open market items are also known as incidental items, non-contract items, non-Schedule items, and items not on a GSA Schedule contract.</w:t>
      </w:r>
    </w:p>
    <w:p w14:paraId="33796F23" w14:textId="42C478C6" w:rsidR="00EE3401" w:rsidRPr="005133D1" w:rsidRDefault="00657B01" w:rsidP="00BD75CD">
      <w:pPr>
        <w:pStyle w:val="ListParagraph"/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Discounts taken from manufacturer’s current price list at the time of order less the 62.1% GSA discount</w:t>
      </w:r>
      <w:r w:rsidR="00D10A79" w:rsidRPr="005133D1">
        <w:rPr>
          <w:rFonts w:cstheme="minorHAnsi"/>
          <w:color w:val="00B050"/>
          <w:sz w:val="18"/>
          <w:szCs w:val="18"/>
        </w:rPr>
        <w:t>.</w:t>
      </w:r>
    </w:p>
    <w:p w14:paraId="398AFAF4" w14:textId="2D5FE517" w:rsidR="00EE3401" w:rsidRPr="005133D1" w:rsidRDefault="00982E17" w:rsidP="00BD75CD">
      <w:pPr>
        <w:pStyle w:val="ListParagraph"/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Orders</w:t>
      </w:r>
      <w:r w:rsidR="00EE3401" w:rsidRPr="005133D1">
        <w:rPr>
          <w:rFonts w:cstheme="minorHAnsi"/>
          <w:color w:val="00B050"/>
          <w:sz w:val="18"/>
          <w:szCs w:val="18"/>
        </w:rPr>
        <w:t xml:space="preserve"> will be submitted using </w:t>
      </w:r>
      <w:r w:rsidR="00084D79" w:rsidRPr="005133D1">
        <w:rPr>
          <w:rFonts w:cstheme="minorHAnsi"/>
          <w:color w:val="00B050"/>
          <w:sz w:val="18"/>
          <w:szCs w:val="18"/>
        </w:rPr>
        <w:t xml:space="preserve">commercial sales policies, obsolescence notifications, warranty procedures, and </w:t>
      </w:r>
      <w:r w:rsidR="00084D79" w:rsidRPr="005133D1">
        <w:rPr>
          <w:rFonts w:cstheme="minorHAnsi"/>
          <w:b/>
          <w:bCs/>
          <w:i/>
          <w:iCs/>
          <w:color w:val="00B050"/>
          <w:sz w:val="18"/>
          <w:szCs w:val="18"/>
          <w:u w:val="single"/>
        </w:rPr>
        <w:t>standard</w:t>
      </w:r>
      <w:r w:rsidR="00EE3401" w:rsidRPr="005133D1">
        <w:rPr>
          <w:rFonts w:cstheme="minorHAnsi"/>
          <w:b/>
          <w:bCs/>
          <w:i/>
          <w:iCs/>
          <w:color w:val="00B050"/>
          <w:sz w:val="18"/>
          <w:szCs w:val="18"/>
          <w:u w:val="single"/>
        </w:rPr>
        <w:t xml:space="preserve"> commercial freight terms</w:t>
      </w:r>
      <w:r w:rsidR="00EE3401" w:rsidRPr="005133D1">
        <w:rPr>
          <w:rFonts w:cstheme="minorHAnsi"/>
          <w:color w:val="00B050"/>
          <w:sz w:val="18"/>
          <w:szCs w:val="18"/>
        </w:rPr>
        <w:t>. Current terms, subject to change with standard freight program, are posted at</w:t>
      </w:r>
      <w:r w:rsidRPr="005133D1">
        <w:rPr>
          <w:rFonts w:cstheme="minorHAnsi"/>
          <w:color w:val="00B050"/>
          <w:sz w:val="18"/>
          <w:szCs w:val="18"/>
        </w:rPr>
        <w:t xml:space="preserve"> </w:t>
      </w:r>
      <w:hyperlink r:id="rId11" w:history="1">
        <w:r w:rsidR="004977CE" w:rsidRPr="005133D1">
          <w:rPr>
            <w:rStyle w:val="Hyperlink"/>
            <w:rFonts w:cstheme="minorHAnsi"/>
            <w:sz w:val="18"/>
            <w:szCs w:val="18"/>
          </w:rPr>
          <w:t>https://www.safcoproducts.com/SafcoProducts/media/Safco/Government/SafcoFreightPolicy_Jan_2022.pdf</w:t>
        </w:r>
      </w:hyperlink>
      <w:r w:rsidR="004977CE" w:rsidRPr="005133D1">
        <w:rPr>
          <w:rFonts w:cstheme="minorHAnsi"/>
          <w:color w:val="00B050"/>
          <w:sz w:val="18"/>
          <w:szCs w:val="18"/>
        </w:rPr>
        <w:t xml:space="preserve"> </w:t>
      </w:r>
    </w:p>
    <w:p w14:paraId="10347673" w14:textId="1C699E54" w:rsidR="00A22EE2" w:rsidRPr="005133D1" w:rsidRDefault="00BE3A12" w:rsidP="00BD75CD">
      <w:pPr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Open Market </w:t>
      </w:r>
      <w:r w:rsidR="007C092F" w:rsidRPr="005133D1">
        <w:rPr>
          <w:rFonts w:cstheme="minorHAnsi"/>
          <w:color w:val="00B050"/>
          <w:sz w:val="18"/>
          <w:szCs w:val="18"/>
        </w:rPr>
        <w:t xml:space="preserve">purchase orders may be issued by the agency directly to Safco, or to the servicing </w:t>
      </w:r>
      <w:proofErr w:type="gramStart"/>
      <w:r w:rsidR="007C092F" w:rsidRPr="005133D1">
        <w:rPr>
          <w:rFonts w:cstheme="minorHAnsi"/>
          <w:color w:val="00B050"/>
          <w:sz w:val="18"/>
          <w:szCs w:val="18"/>
        </w:rPr>
        <w:t>dealer</w:t>
      </w:r>
      <w:r w:rsidR="004977CE" w:rsidRPr="005133D1">
        <w:rPr>
          <w:rFonts w:cstheme="minorHAnsi"/>
          <w:color w:val="00B050"/>
          <w:sz w:val="18"/>
          <w:szCs w:val="18"/>
        </w:rPr>
        <w:t>;</w:t>
      </w:r>
      <w:proofErr w:type="gramEnd"/>
      <w:r w:rsidR="007C092F" w:rsidRPr="005133D1">
        <w:rPr>
          <w:rFonts w:cstheme="minorHAnsi"/>
          <w:color w:val="00B050"/>
          <w:sz w:val="18"/>
          <w:szCs w:val="18"/>
        </w:rPr>
        <w:t xml:space="preserve"> only for federall</w:t>
      </w:r>
      <w:r w:rsidR="00A22EE2" w:rsidRPr="005133D1">
        <w:rPr>
          <w:rFonts w:cstheme="minorHAnsi"/>
          <w:color w:val="00B050"/>
          <w:sz w:val="18"/>
          <w:szCs w:val="18"/>
        </w:rPr>
        <w:t>y funded agencies.</w:t>
      </w:r>
    </w:p>
    <w:p w14:paraId="640150D2" w14:textId="6ADA72DF" w:rsidR="00A22EE2" w:rsidRPr="005133D1" w:rsidRDefault="00A22EE2" w:rsidP="00BD75CD">
      <w:pPr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Quotes </w:t>
      </w:r>
      <w:r w:rsidR="00D53AAA" w:rsidRPr="005133D1">
        <w:rPr>
          <w:rFonts w:cstheme="minorHAnsi"/>
          <w:color w:val="00B050"/>
          <w:sz w:val="18"/>
          <w:szCs w:val="18"/>
        </w:rPr>
        <w:t xml:space="preserve">and orders </w:t>
      </w:r>
      <w:r w:rsidRPr="005133D1">
        <w:rPr>
          <w:rFonts w:cstheme="minorHAnsi"/>
          <w:color w:val="00B050"/>
          <w:sz w:val="18"/>
          <w:szCs w:val="18"/>
        </w:rPr>
        <w:t>must always reference open market items (Space planning will highlight them yellow)</w:t>
      </w:r>
    </w:p>
    <w:p w14:paraId="21866521" w14:textId="34053D95" w:rsidR="00A22EE2" w:rsidRPr="005133D1" w:rsidRDefault="00D53AAA" w:rsidP="00BD75CD">
      <w:pPr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If open market, d</w:t>
      </w:r>
      <w:r w:rsidR="00A22EE2" w:rsidRPr="005133D1">
        <w:rPr>
          <w:rFonts w:cstheme="minorHAnsi"/>
          <w:color w:val="00B050"/>
          <w:sz w:val="18"/>
          <w:szCs w:val="18"/>
        </w:rPr>
        <w:t>o not include GSA contract number on open market orders</w:t>
      </w:r>
      <w:r w:rsidR="007C092F" w:rsidRPr="005133D1">
        <w:rPr>
          <w:rFonts w:cstheme="minorHAnsi"/>
          <w:color w:val="00B050"/>
          <w:sz w:val="18"/>
          <w:szCs w:val="18"/>
        </w:rPr>
        <w:t>.</w:t>
      </w:r>
    </w:p>
    <w:p w14:paraId="6D26BE90" w14:textId="77777777" w:rsidR="007C092F" w:rsidRPr="005133D1" w:rsidRDefault="007C092F" w:rsidP="004D227D">
      <w:pPr>
        <w:ind w:left="1080"/>
        <w:rPr>
          <w:rFonts w:cstheme="minorHAnsi"/>
          <w:color w:val="00B050"/>
          <w:sz w:val="18"/>
          <w:szCs w:val="18"/>
        </w:rPr>
      </w:pPr>
    </w:p>
    <w:p w14:paraId="7628C0C5" w14:textId="1868888A" w:rsidR="007C092F" w:rsidRPr="005133D1" w:rsidRDefault="007C092F" w:rsidP="007C092F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No dealer payments are paid on open market orders unless the dealer PO is accompanied by a document verifying discount.</w:t>
      </w:r>
    </w:p>
    <w:p w14:paraId="3515B412" w14:textId="77777777" w:rsidR="00A22EE2" w:rsidRPr="005133D1" w:rsidRDefault="00A22EE2" w:rsidP="00BD75CD">
      <w:pPr>
        <w:ind w:left="720"/>
        <w:rPr>
          <w:rFonts w:cstheme="minorHAnsi"/>
          <w:color w:val="00B050"/>
          <w:sz w:val="18"/>
          <w:szCs w:val="18"/>
        </w:rPr>
      </w:pPr>
    </w:p>
    <w:p w14:paraId="3BE2587D" w14:textId="015F23AD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Open Market Price Verification:</w:t>
      </w:r>
    </w:p>
    <w:p w14:paraId="75698168" w14:textId="35CFF2A0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Safco will need to verify the amount charged to the federal agency for credit </w:t>
      </w:r>
      <w:r w:rsidR="007C092F" w:rsidRPr="005133D1">
        <w:rPr>
          <w:rFonts w:cstheme="minorHAnsi"/>
          <w:i/>
          <w:iCs/>
          <w:color w:val="00B050"/>
          <w:sz w:val="18"/>
          <w:szCs w:val="18"/>
        </w:rPr>
        <w:t>of</w:t>
      </w: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 the 10% dealer </w:t>
      </w:r>
      <w:r w:rsidR="007C092F" w:rsidRPr="005133D1">
        <w:rPr>
          <w:rFonts w:cstheme="minorHAnsi"/>
          <w:i/>
          <w:iCs/>
          <w:color w:val="00B050"/>
          <w:sz w:val="18"/>
          <w:szCs w:val="18"/>
        </w:rPr>
        <w:t>payment</w:t>
      </w:r>
      <w:r w:rsidRPr="005133D1">
        <w:rPr>
          <w:rFonts w:cstheme="minorHAnsi"/>
          <w:i/>
          <w:iCs/>
          <w:color w:val="00B050"/>
          <w:sz w:val="18"/>
          <w:szCs w:val="18"/>
        </w:rPr>
        <w:t>.</w:t>
      </w:r>
    </w:p>
    <w:p w14:paraId="6B96765A" w14:textId="77777777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 </w:t>
      </w:r>
    </w:p>
    <w:p w14:paraId="06475967" w14:textId="77777777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Dealer must provide </w:t>
      </w:r>
      <w:r w:rsidRPr="005133D1">
        <w:rPr>
          <w:rFonts w:cstheme="minorHAnsi"/>
          <w:b/>
          <w:bCs/>
          <w:i/>
          <w:iCs/>
          <w:color w:val="00B050"/>
          <w:sz w:val="18"/>
          <w:szCs w:val="18"/>
          <w:u w:val="single"/>
        </w:rPr>
        <w:t>one</w:t>
      </w:r>
      <w:r w:rsidRPr="005133D1">
        <w:rPr>
          <w:rFonts w:cstheme="minorHAnsi"/>
          <w:color w:val="00B050"/>
          <w:sz w:val="18"/>
          <w:szCs w:val="18"/>
        </w:rPr>
        <w:t xml:space="preserve"> of the following:</w:t>
      </w:r>
    </w:p>
    <w:p w14:paraId="7A3D7DE2" w14:textId="77777777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 </w:t>
      </w:r>
    </w:p>
    <w:p w14:paraId="24135385" w14:textId="77777777" w:rsidR="00A22EE2" w:rsidRPr="005133D1" w:rsidRDefault="00A22EE2" w:rsidP="00A22EE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Dealer quote </w:t>
      </w:r>
      <w:r w:rsidRPr="005133D1">
        <w:rPr>
          <w:rFonts w:cstheme="minorHAnsi"/>
          <w:i/>
          <w:iCs/>
          <w:color w:val="00B050"/>
          <w:sz w:val="18"/>
          <w:szCs w:val="18"/>
          <w:u w:val="single"/>
        </w:rPr>
        <w:t>signed</w:t>
      </w: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 by the agency, or</w:t>
      </w:r>
    </w:p>
    <w:p w14:paraId="1477D815" w14:textId="77777777" w:rsidR="00A22EE2" w:rsidRPr="005133D1" w:rsidRDefault="00A22EE2" w:rsidP="00A22EE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Agency PO itemized line pricing, or</w:t>
      </w:r>
    </w:p>
    <w:p w14:paraId="54A94B09" w14:textId="77777777" w:rsidR="00A22EE2" w:rsidRPr="005133D1" w:rsidRDefault="00A22EE2" w:rsidP="00A22EE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Agency PO with verified total for Safco's product, or</w:t>
      </w:r>
    </w:p>
    <w:p w14:paraId="7DB074F4" w14:textId="77777777" w:rsidR="00A22EE2" w:rsidRPr="005133D1" w:rsidRDefault="00A22EE2" w:rsidP="00A22EE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Award document specifying Safco’s total.</w:t>
      </w:r>
    </w:p>
    <w:p w14:paraId="7583A8ED" w14:textId="77777777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 </w:t>
      </w:r>
    </w:p>
    <w:p w14:paraId="56F488B4" w14:textId="37A24850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If </w:t>
      </w:r>
      <w:r w:rsidRPr="005133D1">
        <w:rPr>
          <w:rFonts w:cstheme="minorHAnsi"/>
          <w:i/>
          <w:iCs/>
          <w:color w:val="00B050"/>
          <w:sz w:val="18"/>
          <w:szCs w:val="18"/>
          <w:u w:val="single"/>
        </w:rPr>
        <w:t>not</w:t>
      </w:r>
      <w:r w:rsidRPr="005133D1">
        <w:rPr>
          <w:rFonts w:cstheme="minorHAnsi"/>
          <w:color w:val="00B050"/>
          <w:sz w:val="18"/>
          <w:szCs w:val="18"/>
        </w:rPr>
        <w:t xml:space="preserve"> included in the </w:t>
      </w:r>
      <w:r w:rsidR="00D53AAA" w:rsidRPr="005133D1">
        <w:rPr>
          <w:rFonts w:cstheme="minorHAnsi"/>
          <w:color w:val="00B050"/>
          <w:sz w:val="18"/>
          <w:szCs w:val="18"/>
        </w:rPr>
        <w:t xml:space="preserve">open market </w:t>
      </w:r>
      <w:r w:rsidRPr="005133D1">
        <w:rPr>
          <w:rFonts w:cstheme="minorHAnsi"/>
          <w:color w:val="00B050"/>
          <w:sz w:val="18"/>
          <w:szCs w:val="18"/>
        </w:rPr>
        <w:t>purchase order submission, Safco will not deduct the 10% dealer payment.</w:t>
      </w:r>
    </w:p>
    <w:p w14:paraId="05633CD8" w14:textId="77777777" w:rsidR="00BD75CD" w:rsidRDefault="00BD75CD" w:rsidP="00BD75CD">
      <w:pPr>
        <w:rPr>
          <w:rFonts w:ascii="Calibri" w:eastAsia="Times New Roman" w:hAnsi="Calibri" w:cs="Calibri"/>
          <w:b/>
          <w:bCs/>
          <w:color w:val="0070C0"/>
          <w:u w:val="single"/>
        </w:rPr>
      </w:pPr>
    </w:p>
    <w:p w14:paraId="06107D8F" w14:textId="1CF1DACA" w:rsidR="00BD75CD" w:rsidRPr="004D227D" w:rsidRDefault="00BD75CD" w:rsidP="00BD75C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BD75C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Order Checklist for Authorized Dealer</w:t>
      </w:r>
    </w:p>
    <w:p w14:paraId="6F7CE55D" w14:textId="77777777" w:rsidR="00BD75CD" w:rsidRPr="00BD75CD" w:rsidRDefault="00BD75CD" w:rsidP="00BD75CD">
      <w:pPr>
        <w:rPr>
          <w:rFonts w:ascii="Calibri" w:eastAsia="Times New Roman" w:hAnsi="Calibri" w:cs="Calibri"/>
          <w:b/>
          <w:bCs/>
          <w:color w:val="0070C0"/>
          <w:u w:val="single"/>
        </w:rPr>
      </w:pPr>
    </w:p>
    <w:p w14:paraId="5A8CBF08" w14:textId="77777777" w:rsidR="00BD75CD" w:rsidRPr="00BD75CD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" w:name="_Hlk108147876"/>
      <w:r w:rsidRPr="00BD75CD">
        <w:rPr>
          <w:rFonts w:ascii="Calibri" w:eastAsia="Calibri" w:hAnsi="Calibri" w:cs="Times New Roman"/>
          <w:color w:val="0070C0"/>
          <w:sz w:val="18"/>
          <w:szCs w:val="18"/>
        </w:rPr>
        <w:t>Submission Requirements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64896986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Contract number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06A22ECC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Teaming Agreement (if dealer direct)</w:t>
      </w:r>
    </w:p>
    <w:p w14:paraId="16E9F7EB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Copy of Quote (if provided)</w:t>
      </w:r>
    </w:p>
    <w:p w14:paraId="28D8A181" w14:textId="77777777" w:rsidR="00BD75CD" w:rsidRPr="00BD75CD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Order Information with PO submission (as needed)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19B88F02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Model number with color selection/material choice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5852FB98" w14:textId="536A69A3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D227D">
        <w:rPr>
          <w:rFonts w:ascii="Calibri" w:eastAsia="Calibri" w:hAnsi="Calibri" w:cs="Times New Roman"/>
          <w:color w:val="0070C0"/>
          <w:sz w:val="18"/>
          <w:szCs w:val="18"/>
        </w:rPr>
        <w:t>Dealers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 xml:space="preserve"> contact name and phone #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028AD515" w14:textId="77777777" w:rsidR="00BD75CD" w:rsidRPr="004D227D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 xml:space="preserve"> Verify delivery address has a dock</w:t>
      </w:r>
    </w:p>
    <w:p w14:paraId="6E236991" w14:textId="1123F7E7" w:rsidR="00BD75CD" w:rsidRPr="004D227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D227D">
        <w:rPr>
          <w:rFonts w:ascii="Calibri" w:eastAsia="Calibri" w:hAnsi="Calibri" w:cs="Times New Roman"/>
          <w:color w:val="0070C0"/>
          <w:sz w:val="18"/>
          <w:szCs w:val="18"/>
        </w:rPr>
        <w:t>Name and phone number of call before delivery</w:t>
      </w:r>
    </w:p>
    <w:p w14:paraId="4D93E8BC" w14:textId="38218B16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D227D">
        <w:rPr>
          <w:rFonts w:ascii="Calibri" w:eastAsia="Calibri" w:hAnsi="Calibri" w:cs="Times New Roman"/>
          <w:color w:val="0070C0"/>
          <w:sz w:val="18"/>
          <w:szCs w:val="18"/>
        </w:rPr>
        <w:t>Name and phone number of receiving person</w:t>
      </w:r>
    </w:p>
    <w:p w14:paraId="78B4D17F" w14:textId="77777777" w:rsidR="00546E2E" w:rsidRDefault="00546E2E" w:rsidP="00D10A79">
      <w:pPr>
        <w:spacing w:before="52"/>
        <w:rPr>
          <w:rFonts w:ascii="Arial" w:eastAsia="Times New Roman" w:hAnsi="Arial" w:cs="Times New Roman"/>
          <w:b/>
          <w:bCs/>
          <w:u w:val="single"/>
        </w:rPr>
      </w:pPr>
    </w:p>
    <w:p w14:paraId="23140125" w14:textId="386B74CD" w:rsidR="0055034A" w:rsidRPr="004D227D" w:rsidRDefault="0055034A" w:rsidP="00D10A79">
      <w:pPr>
        <w:spacing w:before="52"/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4D227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Identification Numbers:</w:t>
      </w:r>
    </w:p>
    <w:p w14:paraId="4252E6B8" w14:textId="5927A43A" w:rsidR="004D227D" w:rsidRDefault="00445FED" w:rsidP="00EE3401">
      <w:pPr>
        <w:pStyle w:val="BodyText"/>
        <w:spacing w:before="146"/>
        <w:ind w:left="119" w:right="4038"/>
        <w:rPr>
          <w:sz w:val="18"/>
          <w:szCs w:val="18"/>
        </w:rPr>
      </w:pPr>
      <w:bookmarkStart w:id="2" w:name="_Hlk108149627"/>
      <w:r w:rsidRPr="004D227D">
        <w:rPr>
          <w:sz w:val="18"/>
          <w:szCs w:val="18"/>
        </w:rPr>
        <w:t>FSC Group 33721</w:t>
      </w:r>
    </w:p>
    <w:p w14:paraId="493BF988" w14:textId="7506B956" w:rsidR="004D227D" w:rsidRDefault="00445FED" w:rsidP="00EE3401">
      <w:pPr>
        <w:pStyle w:val="BodyText"/>
        <w:spacing w:before="146"/>
        <w:ind w:left="119" w:right="4038"/>
        <w:rPr>
          <w:sz w:val="18"/>
          <w:szCs w:val="18"/>
        </w:rPr>
      </w:pPr>
      <w:r w:rsidRPr="004D227D">
        <w:rPr>
          <w:sz w:val="18"/>
          <w:szCs w:val="18"/>
        </w:rPr>
        <w:t>Contract GS-29F-0010P</w:t>
      </w:r>
      <w:r w:rsidR="00C077DE" w:rsidRPr="004D227D">
        <w:rPr>
          <w:sz w:val="18"/>
          <w:szCs w:val="18"/>
        </w:rPr>
        <w:t xml:space="preserve"> </w:t>
      </w:r>
    </w:p>
    <w:p w14:paraId="6DD54638" w14:textId="60D43D2E" w:rsidR="00C077DE" w:rsidRPr="004D227D" w:rsidRDefault="0055034A" w:rsidP="00EE3401">
      <w:pPr>
        <w:pStyle w:val="BodyText"/>
        <w:spacing w:before="146"/>
        <w:ind w:left="119" w:right="4038"/>
        <w:rPr>
          <w:sz w:val="18"/>
          <w:szCs w:val="18"/>
        </w:rPr>
      </w:pPr>
      <w:r w:rsidRPr="004D227D">
        <w:rPr>
          <w:sz w:val="18"/>
          <w:szCs w:val="18"/>
        </w:rPr>
        <w:t xml:space="preserve">Business Size: Large </w:t>
      </w:r>
    </w:p>
    <w:p w14:paraId="69C266BD" w14:textId="1CE0BEDC" w:rsidR="004D227D" w:rsidRDefault="0055034A" w:rsidP="00EE3401">
      <w:pPr>
        <w:pStyle w:val="BodyText"/>
        <w:spacing w:before="146"/>
        <w:ind w:left="119" w:right="4038"/>
        <w:rPr>
          <w:spacing w:val="-5"/>
          <w:sz w:val="18"/>
          <w:szCs w:val="18"/>
        </w:rPr>
      </w:pPr>
      <w:r w:rsidRPr="004D227D">
        <w:rPr>
          <w:sz w:val="18"/>
          <w:szCs w:val="18"/>
        </w:rPr>
        <w:t>Cage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Code: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3KPT9</w:t>
      </w:r>
      <w:r w:rsidRPr="004D227D">
        <w:rPr>
          <w:spacing w:val="-5"/>
          <w:sz w:val="18"/>
          <w:szCs w:val="18"/>
        </w:rPr>
        <w:t xml:space="preserve"> </w:t>
      </w:r>
      <w:bookmarkStart w:id="3" w:name="_Hlk108149642"/>
      <w:bookmarkEnd w:id="2"/>
    </w:p>
    <w:p w14:paraId="2EC8A671" w14:textId="16703588" w:rsidR="004D227D" w:rsidRDefault="0055034A" w:rsidP="00EE3401">
      <w:pPr>
        <w:pStyle w:val="BodyText"/>
        <w:spacing w:before="146"/>
        <w:ind w:left="119" w:right="4038"/>
        <w:rPr>
          <w:spacing w:val="-6"/>
          <w:sz w:val="18"/>
          <w:szCs w:val="18"/>
        </w:rPr>
      </w:pPr>
      <w:r w:rsidRPr="004D227D">
        <w:rPr>
          <w:sz w:val="18"/>
          <w:szCs w:val="18"/>
        </w:rPr>
        <w:t>(DUNS)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number: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00-645-3575</w:t>
      </w:r>
      <w:r w:rsidRPr="004D227D">
        <w:rPr>
          <w:spacing w:val="-6"/>
          <w:sz w:val="18"/>
          <w:szCs w:val="18"/>
        </w:rPr>
        <w:t xml:space="preserve"> </w:t>
      </w:r>
    </w:p>
    <w:p w14:paraId="37C09227" w14:textId="0753A409" w:rsidR="0055034A" w:rsidRPr="004D227D" w:rsidRDefault="0055034A" w:rsidP="00EE3401">
      <w:pPr>
        <w:pStyle w:val="BodyText"/>
        <w:spacing w:before="146"/>
        <w:ind w:left="119" w:right="4038"/>
        <w:rPr>
          <w:sz w:val="18"/>
          <w:szCs w:val="18"/>
        </w:rPr>
      </w:pPr>
      <w:r w:rsidRPr="004D227D">
        <w:rPr>
          <w:sz w:val="18"/>
          <w:szCs w:val="18"/>
        </w:rPr>
        <w:t>Tax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I.D.</w:t>
      </w:r>
      <w:r w:rsidRPr="004D227D">
        <w:rPr>
          <w:spacing w:val="-5"/>
          <w:sz w:val="18"/>
          <w:szCs w:val="18"/>
        </w:rPr>
        <w:t xml:space="preserve"> </w:t>
      </w:r>
      <w:r w:rsidRPr="004D227D">
        <w:rPr>
          <w:sz w:val="18"/>
          <w:szCs w:val="18"/>
        </w:rPr>
        <w:t>Number:</w:t>
      </w:r>
      <w:r w:rsidRPr="004D227D">
        <w:rPr>
          <w:spacing w:val="-5"/>
          <w:sz w:val="18"/>
          <w:szCs w:val="18"/>
        </w:rPr>
        <w:t xml:space="preserve"> </w:t>
      </w:r>
      <w:r w:rsidRPr="004D227D">
        <w:rPr>
          <w:sz w:val="18"/>
          <w:szCs w:val="18"/>
        </w:rPr>
        <w:t>41-</w:t>
      </w:r>
      <w:r w:rsidRPr="004D227D">
        <w:rPr>
          <w:spacing w:val="-2"/>
          <w:sz w:val="18"/>
          <w:szCs w:val="18"/>
        </w:rPr>
        <w:t>0911459</w:t>
      </w:r>
      <w:bookmarkEnd w:id="1"/>
    </w:p>
    <w:bookmarkEnd w:id="3"/>
    <w:p w14:paraId="3DA9A213" w14:textId="77777777" w:rsidR="0055034A" w:rsidRPr="00546E2E" w:rsidRDefault="0055034A" w:rsidP="002912F3">
      <w:pPr>
        <w:rPr>
          <w:rFonts w:ascii="Arial" w:eastAsia="Times New Roman" w:hAnsi="Arial" w:cs="Times New Roman"/>
        </w:rPr>
      </w:pPr>
    </w:p>
    <w:p w14:paraId="368F889E" w14:textId="77777777" w:rsidR="004D227D" w:rsidRPr="004D227D" w:rsidRDefault="004D227D" w:rsidP="004D227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4D227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Orders Should be made out to:</w:t>
      </w:r>
    </w:p>
    <w:p w14:paraId="3B78F90E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Safco Products Co.</w:t>
      </w:r>
    </w:p>
    <w:p w14:paraId="2AF757E4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9300 West Research Center Road</w:t>
      </w:r>
    </w:p>
    <w:p w14:paraId="6DF39C71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New Hope, MN 55428</w:t>
      </w:r>
    </w:p>
    <w:p w14:paraId="35C59A5B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</w:p>
    <w:p w14:paraId="78BF5FE9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Email for order submission:</w:t>
      </w:r>
    </w:p>
    <w:p w14:paraId="60CF5917" w14:textId="575D7F1D" w:rsidR="004D227D" w:rsidRPr="004D227D" w:rsidRDefault="004D2E13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hyperlink r:id="rId12" w:history="1">
        <w:r w:rsidR="004D227D" w:rsidRPr="00264F91">
          <w:rPr>
            <w:rStyle w:val="Hyperlink"/>
            <w:rFonts w:ascii="Calibri" w:eastAsia="Calibri" w:hAnsi="Calibri" w:cs="Calibri"/>
            <w:color w:val="034990" w:themeColor="hyperlink" w:themeShade="BF"/>
            <w:sz w:val="18"/>
            <w:szCs w:val="18"/>
          </w:rPr>
          <w:t>gsaorders@safcoproducts.com</w:t>
        </w:r>
      </w:hyperlink>
      <w:r w:rsid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 xml:space="preserve"> </w:t>
      </w:r>
      <w:r w:rsidR="004D227D"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 xml:space="preserve">    </w:t>
      </w:r>
    </w:p>
    <w:p w14:paraId="0D99B37B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</w:p>
    <w:p w14:paraId="0DB50676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</w:p>
    <w:p w14:paraId="5C872D47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Payment Address:</w:t>
      </w:r>
    </w:p>
    <w:p w14:paraId="48E0F474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Safco Products Co.</w:t>
      </w:r>
    </w:p>
    <w:p w14:paraId="790EE30C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PO Box 856548</w:t>
      </w:r>
    </w:p>
    <w:p w14:paraId="4B294C8D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Minneapolis, MN  55485-6548</w:t>
      </w:r>
    </w:p>
    <w:p w14:paraId="20C78B64" w14:textId="77777777" w:rsidR="00A22EE2" w:rsidRPr="004D227D" w:rsidRDefault="00A22EE2" w:rsidP="002912F3">
      <w:pPr>
        <w:rPr>
          <w:rFonts w:ascii="Arial" w:eastAsia="Times New Roman" w:hAnsi="Arial" w:cs="Times New Roman"/>
          <w:color w:val="C45911" w:themeColor="accent2" w:themeShade="BF"/>
          <w:sz w:val="16"/>
          <w:szCs w:val="16"/>
        </w:rPr>
      </w:pPr>
    </w:p>
    <w:p w14:paraId="5376C6E5" w14:textId="77777777" w:rsidR="00A22EE2" w:rsidRDefault="00A22EE2" w:rsidP="002912F3">
      <w:pPr>
        <w:rPr>
          <w:rFonts w:ascii="Arial" w:eastAsia="Times New Roman" w:hAnsi="Arial" w:cs="Times New Roman"/>
          <w:sz w:val="16"/>
          <w:szCs w:val="16"/>
        </w:rPr>
      </w:pPr>
    </w:p>
    <w:p w14:paraId="3C58C58B" w14:textId="77777777" w:rsidR="004D227D" w:rsidRPr="004D227D" w:rsidRDefault="004D227D" w:rsidP="004D227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4D227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Government Contacts:</w:t>
      </w:r>
    </w:p>
    <w:p w14:paraId="349F3A3E" w14:textId="77777777" w:rsidR="004D227D" w:rsidRPr="004D227D" w:rsidRDefault="004D227D" w:rsidP="004D227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14:paraId="5B8A20B5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Yvonne Moore – Government Business Development Manager</w:t>
      </w:r>
    </w:p>
    <w:p w14:paraId="5D15A4D5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P: 763-536-6788</w:t>
      </w:r>
    </w:p>
    <w:p w14:paraId="22615A7E" w14:textId="214C05DC" w:rsidR="004D227D" w:rsidRPr="004D227D" w:rsidRDefault="004D2E13" w:rsidP="004D227D">
      <w:pPr>
        <w:rPr>
          <w:rFonts w:ascii="Arial" w:eastAsia="Times New Roman" w:hAnsi="Arial" w:cs="Times New Roman"/>
          <w:sz w:val="16"/>
          <w:szCs w:val="16"/>
        </w:rPr>
      </w:pPr>
      <w:hyperlink r:id="rId13" w:history="1">
        <w:r w:rsidR="00EC15DD" w:rsidRPr="004D227D">
          <w:rPr>
            <w:rStyle w:val="Hyperlink"/>
            <w:rFonts w:ascii="Arial" w:eastAsia="Times New Roman" w:hAnsi="Arial" w:cs="Times New Roman"/>
            <w:sz w:val="16"/>
            <w:szCs w:val="16"/>
          </w:rPr>
          <w:t>YvonneMoore@safcoproducts.com</w:t>
        </w:r>
      </w:hyperlink>
      <w:r w:rsidR="00EC15DD">
        <w:rPr>
          <w:rFonts w:ascii="Arial" w:eastAsia="Times New Roman" w:hAnsi="Arial" w:cs="Times New Roman"/>
          <w:sz w:val="16"/>
          <w:szCs w:val="16"/>
        </w:rPr>
        <w:t xml:space="preserve"> </w:t>
      </w:r>
      <w:r w:rsidR="004D227D" w:rsidRPr="004D227D">
        <w:rPr>
          <w:rFonts w:ascii="Arial" w:eastAsia="Times New Roman" w:hAnsi="Arial" w:cs="Times New Roman"/>
          <w:sz w:val="16"/>
          <w:szCs w:val="16"/>
        </w:rPr>
        <w:t xml:space="preserve"> </w:t>
      </w:r>
    </w:p>
    <w:p w14:paraId="0BD968D2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</w:p>
    <w:p w14:paraId="2E96F9FC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Kelly Overstreet– Government Specialist</w:t>
      </w:r>
    </w:p>
    <w:p w14:paraId="71010D23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P: 763-536-6796</w:t>
      </w:r>
    </w:p>
    <w:p w14:paraId="6512D64D" w14:textId="66337796" w:rsidR="00A22EE2" w:rsidRDefault="004D2E13" w:rsidP="004D227D">
      <w:pPr>
        <w:rPr>
          <w:rFonts w:ascii="Arial" w:eastAsia="Times New Roman" w:hAnsi="Arial" w:cs="Times New Roman"/>
          <w:sz w:val="16"/>
          <w:szCs w:val="16"/>
        </w:rPr>
      </w:pPr>
      <w:hyperlink r:id="rId14" w:history="1">
        <w:r w:rsidR="00EC15DD" w:rsidRPr="00264F91">
          <w:rPr>
            <w:rStyle w:val="Hyperlink"/>
            <w:rFonts w:ascii="Arial" w:eastAsia="Times New Roman" w:hAnsi="Arial" w:cs="Times New Roman"/>
            <w:sz w:val="16"/>
            <w:szCs w:val="16"/>
          </w:rPr>
          <w:t>KellyOverstreet@safcoproducts.com</w:t>
        </w:r>
      </w:hyperlink>
      <w:r w:rsidR="00EC15DD">
        <w:rPr>
          <w:rFonts w:ascii="Arial" w:eastAsia="Times New Roman" w:hAnsi="Arial" w:cs="Times New Roman"/>
          <w:sz w:val="16"/>
          <w:szCs w:val="16"/>
        </w:rPr>
        <w:t xml:space="preserve"> </w:t>
      </w:r>
    </w:p>
    <w:p w14:paraId="03EE8749" w14:textId="77777777" w:rsidR="00A22EE2" w:rsidRDefault="00A22EE2" w:rsidP="002912F3">
      <w:pPr>
        <w:rPr>
          <w:rFonts w:ascii="Arial" w:eastAsia="Times New Roman" w:hAnsi="Arial" w:cs="Times New Roman"/>
          <w:sz w:val="16"/>
          <w:szCs w:val="16"/>
        </w:rPr>
      </w:pPr>
    </w:p>
    <w:p w14:paraId="5BFFD48D" w14:textId="77777777" w:rsidR="00A22EE2" w:rsidRDefault="00A22EE2" w:rsidP="002912F3">
      <w:pPr>
        <w:rPr>
          <w:rFonts w:ascii="Arial" w:eastAsia="Times New Roman" w:hAnsi="Arial" w:cs="Times New Roman"/>
          <w:sz w:val="16"/>
          <w:szCs w:val="16"/>
        </w:rPr>
      </w:pPr>
    </w:p>
    <w:p w14:paraId="522B0C6A" w14:textId="6051020E" w:rsidR="004558DB" w:rsidRPr="00A972EB" w:rsidRDefault="002912F3" w:rsidP="002912F3">
      <w:pPr>
        <w:jc w:val="center"/>
        <w:rPr>
          <w:rFonts w:ascii="Helvetica Neue" w:hAnsi="Helvetica Neue"/>
          <w:sz w:val="16"/>
          <w:szCs w:val="16"/>
        </w:rPr>
      </w:pPr>
      <w:r w:rsidRPr="00A972EB"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07186F" w:rsidRPr="00A972EB">
        <w:rPr>
          <w:rFonts w:ascii="Arial" w:eastAsia="Times New Roman" w:hAnsi="Arial" w:cs="Times New Roman"/>
          <w:sz w:val="16"/>
          <w:szCs w:val="16"/>
        </w:rPr>
        <w:t xml:space="preserve">Revision date </w:t>
      </w:r>
      <w:r w:rsidR="005133D1">
        <w:rPr>
          <w:rFonts w:ascii="Arial" w:eastAsia="Times New Roman" w:hAnsi="Arial" w:cs="Times New Roman"/>
          <w:sz w:val="16"/>
          <w:szCs w:val="16"/>
        </w:rPr>
        <w:t>3/9/24</w:t>
      </w:r>
    </w:p>
    <w:sectPr w:rsidR="004558DB" w:rsidRPr="00A972EB" w:rsidSect="008D3D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8C0C" w14:textId="77777777" w:rsidR="00380177" w:rsidRDefault="00380177" w:rsidP="00EC0BFF">
      <w:r>
        <w:separator/>
      </w:r>
    </w:p>
  </w:endnote>
  <w:endnote w:type="continuationSeparator" w:id="0">
    <w:p w14:paraId="343B2C94" w14:textId="77777777" w:rsidR="00380177" w:rsidRDefault="00380177" w:rsidP="00E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BBC9" w14:textId="4646838C" w:rsidR="00EC0BFF" w:rsidRDefault="00EC0BFF" w:rsidP="00EC0BFF">
    <w:pPr>
      <w:widowControl w:val="0"/>
      <w:autoSpaceDE w:val="0"/>
      <w:autoSpaceDN w:val="0"/>
      <w:adjustRightInd w:val="0"/>
      <w:spacing w:after="240" w:line="160" w:lineRule="atLeast"/>
      <w:rPr>
        <w:rFonts w:ascii="Calibri" w:hAnsi="Calibri" w:cs="Time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47D3" w14:textId="77777777" w:rsidR="00380177" w:rsidRDefault="00380177" w:rsidP="00EC0BFF">
      <w:bookmarkStart w:id="0" w:name="_Hlk108144439"/>
      <w:bookmarkEnd w:id="0"/>
      <w:r>
        <w:separator/>
      </w:r>
    </w:p>
  </w:footnote>
  <w:footnote w:type="continuationSeparator" w:id="0">
    <w:p w14:paraId="697CBDDA" w14:textId="77777777" w:rsidR="00380177" w:rsidRDefault="00380177" w:rsidP="00EC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3E74" w14:textId="2E080264" w:rsidR="00EC0BFF" w:rsidRDefault="00E118D6" w:rsidP="00BA11E5">
    <w:pPr>
      <w:pStyle w:val="Header"/>
      <w:ind w:left="-864"/>
      <w:jc w:val="both"/>
    </w:pPr>
    <w:r>
      <w:rPr>
        <w:noProof/>
      </w:rPr>
      <w:drawing>
        <wp:inline distT="0" distB="0" distL="0" distR="0" wp14:anchorId="20D21417" wp14:editId="136A93C9">
          <wp:extent cx="1209247" cy="5185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5329" cy="52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C07">
      <w:tab/>
    </w:r>
    <w:r w:rsidR="00C53C07">
      <w:tab/>
    </w:r>
    <w:r w:rsidR="00C53C07">
      <w:rPr>
        <w:noProof/>
      </w:rPr>
      <w:drawing>
        <wp:inline distT="0" distB="0" distL="0" distR="0" wp14:anchorId="045084B5" wp14:editId="47645394">
          <wp:extent cx="684050" cy="451731"/>
          <wp:effectExtent l="0" t="0" r="1905" b="571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66" cy="45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3C07">
      <w:tab/>
    </w:r>
    <w:r w:rsidR="00C53C07">
      <w:tab/>
    </w:r>
  </w:p>
  <w:p w14:paraId="705E3A0C" w14:textId="77777777" w:rsidR="00EC0BFF" w:rsidRDefault="00EC0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920"/>
    <w:multiLevelType w:val="hybridMultilevel"/>
    <w:tmpl w:val="E43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6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2A71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AF418C"/>
    <w:multiLevelType w:val="hybridMultilevel"/>
    <w:tmpl w:val="C03A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C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32414D"/>
    <w:multiLevelType w:val="hybridMultilevel"/>
    <w:tmpl w:val="60947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83F87"/>
    <w:multiLevelType w:val="hybridMultilevel"/>
    <w:tmpl w:val="B30C6020"/>
    <w:lvl w:ilvl="0" w:tplc="4762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6B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8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2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9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A3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1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60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84388"/>
    <w:multiLevelType w:val="hybridMultilevel"/>
    <w:tmpl w:val="DB222FF4"/>
    <w:lvl w:ilvl="0" w:tplc="0FC4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2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EF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E4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4D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89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C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4C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6F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A77B5"/>
    <w:multiLevelType w:val="hybridMultilevel"/>
    <w:tmpl w:val="7E7E4204"/>
    <w:lvl w:ilvl="0" w:tplc="1052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CB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A8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0B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40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E2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8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85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69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97FD2"/>
    <w:multiLevelType w:val="hybridMultilevel"/>
    <w:tmpl w:val="DA4C5780"/>
    <w:lvl w:ilvl="0" w:tplc="61A8E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297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E3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28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C9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82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6FB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24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F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7009"/>
    <w:multiLevelType w:val="hybridMultilevel"/>
    <w:tmpl w:val="CC627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0095"/>
    <w:multiLevelType w:val="hybridMultilevel"/>
    <w:tmpl w:val="FAFC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07ADF"/>
    <w:multiLevelType w:val="hybridMultilevel"/>
    <w:tmpl w:val="FA00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B1BC4"/>
    <w:multiLevelType w:val="hybridMultilevel"/>
    <w:tmpl w:val="E1D2C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6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BB5D41"/>
    <w:multiLevelType w:val="hybridMultilevel"/>
    <w:tmpl w:val="B4BAF09C"/>
    <w:lvl w:ilvl="0" w:tplc="1C543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2D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6C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67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CD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C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2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60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0D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849272">
    <w:abstractNumId w:val="1"/>
  </w:num>
  <w:num w:numId="2" w16cid:durableId="1694187312">
    <w:abstractNumId w:val="4"/>
  </w:num>
  <w:num w:numId="3" w16cid:durableId="73822640">
    <w:abstractNumId w:val="14"/>
  </w:num>
  <w:num w:numId="4" w16cid:durableId="1371341711">
    <w:abstractNumId w:val="11"/>
  </w:num>
  <w:num w:numId="5" w16cid:durableId="460998344">
    <w:abstractNumId w:val="0"/>
  </w:num>
  <w:num w:numId="6" w16cid:durableId="502739542">
    <w:abstractNumId w:val="2"/>
  </w:num>
  <w:num w:numId="7" w16cid:durableId="261109408">
    <w:abstractNumId w:val="13"/>
  </w:num>
  <w:num w:numId="8" w16cid:durableId="1545096327">
    <w:abstractNumId w:val="3"/>
  </w:num>
  <w:num w:numId="9" w16cid:durableId="1601252408">
    <w:abstractNumId w:val="15"/>
  </w:num>
  <w:num w:numId="10" w16cid:durableId="2032293445">
    <w:abstractNumId w:val="9"/>
  </w:num>
  <w:num w:numId="11" w16cid:durableId="1040208428">
    <w:abstractNumId w:val="8"/>
  </w:num>
  <w:num w:numId="12" w16cid:durableId="1810318304">
    <w:abstractNumId w:val="6"/>
  </w:num>
  <w:num w:numId="13" w16cid:durableId="1889298027">
    <w:abstractNumId w:val="7"/>
  </w:num>
  <w:num w:numId="14" w16cid:durableId="1236431638">
    <w:abstractNumId w:val="12"/>
  </w:num>
  <w:num w:numId="15" w16cid:durableId="394818555">
    <w:abstractNumId w:val="10"/>
  </w:num>
  <w:num w:numId="16" w16cid:durableId="205129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0"/>
    <w:rsid w:val="00001907"/>
    <w:rsid w:val="000405F2"/>
    <w:rsid w:val="0007186F"/>
    <w:rsid w:val="00084D79"/>
    <w:rsid w:val="00091C18"/>
    <w:rsid w:val="000A69D5"/>
    <w:rsid w:val="00104794"/>
    <w:rsid w:val="001E5216"/>
    <w:rsid w:val="002025B0"/>
    <w:rsid w:val="00230BCA"/>
    <w:rsid w:val="00240557"/>
    <w:rsid w:val="00272832"/>
    <w:rsid w:val="002867AB"/>
    <w:rsid w:val="002912F3"/>
    <w:rsid w:val="002F127A"/>
    <w:rsid w:val="0032526C"/>
    <w:rsid w:val="00334C2C"/>
    <w:rsid w:val="00336ED5"/>
    <w:rsid w:val="00346A41"/>
    <w:rsid w:val="00351738"/>
    <w:rsid w:val="003524F3"/>
    <w:rsid w:val="00380177"/>
    <w:rsid w:val="003D45B1"/>
    <w:rsid w:val="00445FED"/>
    <w:rsid w:val="004558DB"/>
    <w:rsid w:val="00456A01"/>
    <w:rsid w:val="00461F48"/>
    <w:rsid w:val="0047457D"/>
    <w:rsid w:val="00490013"/>
    <w:rsid w:val="00492F12"/>
    <w:rsid w:val="004977CE"/>
    <w:rsid w:val="004B6FD7"/>
    <w:rsid w:val="004D227D"/>
    <w:rsid w:val="004D2E13"/>
    <w:rsid w:val="005067F0"/>
    <w:rsid w:val="005133D1"/>
    <w:rsid w:val="00535209"/>
    <w:rsid w:val="0054590B"/>
    <w:rsid w:val="00546E2E"/>
    <w:rsid w:val="0055034A"/>
    <w:rsid w:val="00557D50"/>
    <w:rsid w:val="00580E34"/>
    <w:rsid w:val="005A5691"/>
    <w:rsid w:val="00633870"/>
    <w:rsid w:val="00637993"/>
    <w:rsid w:val="00657B01"/>
    <w:rsid w:val="007C092F"/>
    <w:rsid w:val="007E484A"/>
    <w:rsid w:val="00842697"/>
    <w:rsid w:val="00860CBE"/>
    <w:rsid w:val="0089610E"/>
    <w:rsid w:val="008D3D55"/>
    <w:rsid w:val="008E260F"/>
    <w:rsid w:val="00931A97"/>
    <w:rsid w:val="00945A78"/>
    <w:rsid w:val="009753EC"/>
    <w:rsid w:val="00982E17"/>
    <w:rsid w:val="00990C77"/>
    <w:rsid w:val="009A420B"/>
    <w:rsid w:val="009A5B20"/>
    <w:rsid w:val="00A22EE2"/>
    <w:rsid w:val="00A24E4C"/>
    <w:rsid w:val="00A55DCE"/>
    <w:rsid w:val="00A71E21"/>
    <w:rsid w:val="00A972EB"/>
    <w:rsid w:val="00AD27C3"/>
    <w:rsid w:val="00B00C6D"/>
    <w:rsid w:val="00B238BF"/>
    <w:rsid w:val="00B53125"/>
    <w:rsid w:val="00B64E31"/>
    <w:rsid w:val="00B73799"/>
    <w:rsid w:val="00B848CF"/>
    <w:rsid w:val="00BA11E5"/>
    <w:rsid w:val="00BC5E9A"/>
    <w:rsid w:val="00BD75CD"/>
    <w:rsid w:val="00BE3A12"/>
    <w:rsid w:val="00C01C7A"/>
    <w:rsid w:val="00C077DE"/>
    <w:rsid w:val="00C323A3"/>
    <w:rsid w:val="00C53C07"/>
    <w:rsid w:val="00C81F99"/>
    <w:rsid w:val="00CF4A20"/>
    <w:rsid w:val="00D10A79"/>
    <w:rsid w:val="00D3627B"/>
    <w:rsid w:val="00D53AAA"/>
    <w:rsid w:val="00D57246"/>
    <w:rsid w:val="00DB2342"/>
    <w:rsid w:val="00DB7E78"/>
    <w:rsid w:val="00DD0A69"/>
    <w:rsid w:val="00DD3594"/>
    <w:rsid w:val="00DE4D7D"/>
    <w:rsid w:val="00E118D6"/>
    <w:rsid w:val="00E228EE"/>
    <w:rsid w:val="00E6222B"/>
    <w:rsid w:val="00EA6F6F"/>
    <w:rsid w:val="00EB0DF4"/>
    <w:rsid w:val="00EC0BFF"/>
    <w:rsid w:val="00EC15DD"/>
    <w:rsid w:val="00EC7FD3"/>
    <w:rsid w:val="00EE3401"/>
    <w:rsid w:val="00F53491"/>
    <w:rsid w:val="00FA6865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AF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45B1"/>
    <w:pPr>
      <w:keepNext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FF"/>
  </w:style>
  <w:style w:type="paragraph" w:styleId="Footer">
    <w:name w:val="footer"/>
    <w:basedOn w:val="Normal"/>
    <w:link w:val="Foot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FF"/>
  </w:style>
  <w:style w:type="paragraph" w:styleId="ListParagraph">
    <w:name w:val="List Paragraph"/>
    <w:basedOn w:val="Normal"/>
    <w:uiPriority w:val="34"/>
    <w:qFormat/>
    <w:rsid w:val="00633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E21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3D45B1"/>
    <w:rPr>
      <w:rFonts w:ascii="Arial" w:eastAsia="Times New Roman" w:hAnsi="Arial" w:cs="Times New Roman"/>
      <w:b/>
      <w:i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12F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5034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34A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46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Moore@safcoproduct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aorders@safcoproduct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coproducts.com/SafcoProducts/media/Safco/Government/SafcoFreightPolicy_Jan_202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yOverstreet@safcoproduct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3220CB8E4A42B1A4379B3989FBD0" ma:contentTypeVersion="2" ma:contentTypeDescription="Create a new document." ma:contentTypeScope="" ma:versionID="98ed3a45b9bd112029932abe53cb41a6">
  <xsd:schema xmlns:xsd="http://www.w3.org/2001/XMLSchema" xmlns:xs="http://www.w3.org/2001/XMLSchema" xmlns:p="http://schemas.microsoft.com/office/2006/metadata/properties" xmlns:ns2="8a08c371-ad16-47b3-aa75-018523c2afc2" targetNamespace="http://schemas.microsoft.com/office/2006/metadata/properties" ma:root="true" ma:fieldsID="517b1cf2aa706dfcf4bc0de23fc44b71" ns2:_="">
    <xsd:import namespace="8a08c371-ad16-47b3-aa75-018523c2af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1-ad16-47b3-aa75-018523c2a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08c371-ad16-47b3-aa75-018523c2afc2">AFPZ4MKUC35K-1878409069-51</_dlc_DocId>
    <_dlc_DocIdUrl xmlns="8a08c371-ad16-47b3-aa75-018523c2afc2">
      <Url>https://incite.libertydiversified.com/div/Safco/_layouts/15/DocIdRedir.aspx?ID=AFPZ4MKUC35K-1878409069-51</Url>
      <Description>AFPZ4MKUC35K-1878409069-51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2763C8-3B01-468F-A168-01724CBFA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c371-ad16-47b3-aa75-018523c2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AA0D2-0AC2-478C-B48B-5D996EFC628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a08c371-ad16-47b3-aa75-018523c2afc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F58E0B-D985-44DB-A410-DCCDD482E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91C38-939B-4FD4-A68C-383F37B29C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LDI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Moore, Yvonne</cp:lastModifiedBy>
  <cp:revision>3</cp:revision>
  <dcterms:created xsi:type="dcterms:W3CDTF">2024-03-11T13:36:00Z</dcterms:created>
  <dcterms:modified xsi:type="dcterms:W3CDTF">2024-03-11T16:16:00Z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0x0101005A613220CB8E4A42B1A4379B3989FBD0</vt:lpwstr>
  </property>
  <property fmtid="{D5CDD505-2E9C-101B-9397-08002B2CF9AE}" pid="3" name="_dlc_DocIdItemGuid">
    <vt:lpwstr>9b7c9586-813d-4f09-b318-73abc2272d3f</vt:lpwstr>
  </property>
</Properties>
</file>